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212" w14:textId="4620C671" w:rsidR="00E06957" w:rsidRPr="000C40FD" w:rsidRDefault="005D0D3D" w:rsidP="000C40FD">
      <w:pPr>
        <w:shd w:val="clear" w:color="auto" w:fill="FFC627"/>
        <w:ind w:left="360" w:right="360"/>
        <w:jc w:val="center"/>
        <w:rPr>
          <w:rFonts w:ascii="Arial" w:hAnsi="Arial" w:cs="Arial"/>
          <w:b/>
          <w:bCs/>
          <w:color w:val="8C1D40"/>
          <w:kern w:val="2"/>
          <w:sz w:val="36"/>
          <w:szCs w:val="36"/>
          <w:shd w:val="clear" w:color="auto" w:fill="FFC627"/>
          <w14:ligatures w14:val="standardContextual"/>
        </w:rPr>
      </w:pPr>
      <w:bookmarkStart w:id="0" w:name="_Hlk142307927"/>
      <w:r w:rsidRPr="000C40FD">
        <w:rPr>
          <w:rFonts w:ascii="Arial" w:hAnsi="Arial" w:cs="Arial"/>
          <w:b/>
          <w:bCs/>
          <w:color w:val="8C1D40"/>
          <w:kern w:val="2"/>
          <w:sz w:val="36"/>
          <w:szCs w:val="36"/>
          <w:shd w:val="clear" w:color="auto" w:fill="FFC627"/>
          <w14:ligatures w14:val="standardContextual"/>
        </w:rPr>
        <w:t>Emergency Management Campus Training Day</w:t>
      </w:r>
    </w:p>
    <w:bookmarkEnd w:id="0"/>
    <w:p w14:paraId="7D548B7A" w14:textId="77777777" w:rsidR="00B44C85" w:rsidRPr="00382491" w:rsidRDefault="00B44C85" w:rsidP="001D4500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C12D0">
        <w:rPr>
          <w:rFonts w:ascii="Arial" w:hAnsi="Arial" w:cs="Arial"/>
          <w:b/>
        </w:rPr>
        <w:t>Purpose</w:t>
      </w:r>
      <w:r w:rsidRPr="00382491">
        <w:rPr>
          <w:rFonts w:ascii="Arial" w:hAnsi="Arial" w:cs="Arial"/>
          <w:color w:val="000000"/>
        </w:rPr>
        <w:t> </w:t>
      </w:r>
    </w:p>
    <w:p w14:paraId="5A723354" w14:textId="77777777" w:rsidR="00E31BBC" w:rsidRDefault="002564E5" w:rsidP="000C40FD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64E5">
        <w:rPr>
          <w:rFonts w:ascii="Arial" w:hAnsi="Arial" w:cs="Arial"/>
          <w:color w:val="000000"/>
          <w:sz w:val="22"/>
          <w:szCs w:val="22"/>
        </w:rPr>
        <w:t xml:space="preserve">The Emergency Management Campus Training Days will unite ASU Public Safety teams and campus stakeholders to </w:t>
      </w:r>
      <w:r w:rsidR="006218BD">
        <w:rPr>
          <w:rFonts w:ascii="Arial" w:hAnsi="Arial" w:cs="Arial"/>
          <w:color w:val="000000"/>
          <w:sz w:val="22"/>
          <w:szCs w:val="22"/>
        </w:rPr>
        <w:t>teach</w:t>
      </w:r>
      <w:r w:rsidRPr="002564E5">
        <w:rPr>
          <w:rFonts w:ascii="Arial" w:hAnsi="Arial" w:cs="Arial"/>
          <w:color w:val="000000"/>
          <w:sz w:val="22"/>
          <w:szCs w:val="22"/>
        </w:rPr>
        <w:t xml:space="preserve"> strategies and best practices for preparing, responding to, recovering from, and mitigating the impact of emergencies and disasters. </w:t>
      </w:r>
    </w:p>
    <w:p w14:paraId="769850F0" w14:textId="77777777" w:rsidR="00E31BBC" w:rsidRPr="00E31BBC" w:rsidRDefault="00E31BBC" w:rsidP="00E31BBC">
      <w:pPr>
        <w:pStyle w:val="NormalWeb"/>
        <w:spacing w:before="0" w:beforeAutospacing="0" w:after="120" w:afterAutospacing="0"/>
        <w:rPr>
          <w:rFonts w:ascii="Arial" w:hAnsi="Arial" w:cs="Arial"/>
          <w:b/>
        </w:rPr>
      </w:pPr>
      <w:proofErr w:type="gramStart"/>
      <w:r w:rsidRPr="00E31BBC">
        <w:rPr>
          <w:rFonts w:ascii="Arial" w:hAnsi="Arial" w:cs="Arial"/>
          <w:b/>
        </w:rPr>
        <w:t>Where</w:t>
      </w:r>
      <w:proofErr w:type="gramEnd"/>
    </w:p>
    <w:p w14:paraId="4DE39667" w14:textId="44F8759B" w:rsidR="002564E5" w:rsidRDefault="003C4FE1" w:rsidP="000C40FD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 Devil Fitness Complex, Well Devil Suite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500" w:rsidRPr="00B36DAE" w14:paraId="2E85B152" w14:textId="77777777" w:rsidTr="00C63426">
        <w:tc>
          <w:tcPr>
            <w:tcW w:w="9350" w:type="dxa"/>
            <w:shd w:val="clear" w:color="auto" w:fill="8C1D40"/>
          </w:tcPr>
          <w:p w14:paraId="796839FE" w14:textId="77777777" w:rsidR="001D4500" w:rsidRPr="00DA7296" w:rsidRDefault="001D4500" w:rsidP="00E31BBC">
            <w:pPr>
              <w:spacing w:after="160" w:line="259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C627"/>
                <w:sz w:val="20"/>
                <w:szCs w:val="20"/>
              </w:rPr>
            </w:pPr>
            <w:r w:rsidRPr="00E31BBC">
              <w:rPr>
                <w:rFonts w:ascii="Arial" w:hAnsi="Arial" w:cs="Arial"/>
                <w:b/>
                <w:bCs/>
                <w:color w:val="FFC627"/>
              </w:rPr>
              <w:t>Tabling</w:t>
            </w:r>
          </w:p>
        </w:tc>
      </w:tr>
      <w:tr w:rsidR="001D4500" w:rsidRPr="00B36DAE" w14:paraId="77B626D0" w14:textId="77777777" w:rsidTr="00C63426">
        <w:tc>
          <w:tcPr>
            <w:tcW w:w="9350" w:type="dxa"/>
          </w:tcPr>
          <w:p w14:paraId="59F06DEE" w14:textId="2A497112" w:rsidR="001D4500" w:rsidRPr="00E31BBC" w:rsidRDefault="001D4500" w:rsidP="00E31B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31B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Tabling will </w:t>
            </w:r>
            <w:r w:rsidR="00E31B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occur</w:t>
            </w:r>
            <w:r w:rsidRPr="00E31B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throughout the event for staff and faculty who choose to come and go.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3867"/>
        <w:gridCol w:w="3785"/>
      </w:tblGrid>
      <w:tr w:rsidR="00E31BBC" w14:paraId="0F1A266E" w14:textId="77777777" w:rsidTr="00E31BBC">
        <w:trPr>
          <w:trHeight w:val="330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1D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4216" w14:textId="77777777" w:rsidR="00E31BBC" w:rsidRDefault="00E31BBC">
            <w:pPr>
              <w:jc w:val="center"/>
              <w:textAlignment w:val="baseline"/>
              <w:rPr>
                <w:rFonts w:ascii="Arial" w:hAnsi="Arial" w:cs="Arial"/>
                <w:color w:val="FFC627"/>
              </w:rPr>
            </w:pPr>
            <w:r>
              <w:rPr>
                <w:rFonts w:ascii="Arial" w:hAnsi="Arial" w:cs="Arial"/>
                <w:b/>
                <w:bCs/>
                <w:color w:val="FFC627"/>
              </w:rPr>
              <w:t>Training Agenda 45 Minute Blocks</w:t>
            </w:r>
          </w:p>
        </w:tc>
      </w:tr>
      <w:tr w:rsidR="00E31BBC" w14:paraId="7CB6C291" w14:textId="77777777" w:rsidTr="00E31BBC">
        <w:trPr>
          <w:trHeight w:val="187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F4AB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0900 - 0945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327D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Emergency Management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D4AD" w14:textId="77777777" w:rsidR="00E31BBC" w:rsidRDefault="00E31BBC" w:rsidP="00E31BBC">
            <w:pPr>
              <w:numPr>
                <w:ilvl w:val="0"/>
                <w:numId w:val="12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ERT and IMT roles and responsibilities</w:t>
            </w:r>
          </w:p>
          <w:p w14:paraId="1BE3E6F0" w14:textId="77777777" w:rsidR="00E31BBC" w:rsidRDefault="00E31BBC" w:rsidP="00E31BBC">
            <w:pPr>
              <w:numPr>
                <w:ilvl w:val="0"/>
                <w:numId w:val="12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Incident Command at ASU</w:t>
            </w:r>
          </w:p>
          <w:p w14:paraId="111F42DB" w14:textId="77777777" w:rsidR="00E31BBC" w:rsidRDefault="00E31BBC" w:rsidP="00E31BBC">
            <w:pPr>
              <w:numPr>
                <w:ilvl w:val="0"/>
                <w:numId w:val="12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LiveSafe</w:t>
            </w:r>
          </w:p>
          <w:p w14:paraId="775491D7" w14:textId="77777777" w:rsidR="00E31BBC" w:rsidRDefault="00E31BBC" w:rsidP="00E31BBC">
            <w:pPr>
              <w:numPr>
                <w:ilvl w:val="0"/>
                <w:numId w:val="12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Quick Response Guide</w:t>
            </w:r>
          </w:p>
          <w:p w14:paraId="026BCD7C" w14:textId="77777777" w:rsidR="00E31BBC" w:rsidRDefault="00E31BBC" w:rsidP="00E31BBC">
            <w:pPr>
              <w:numPr>
                <w:ilvl w:val="0"/>
                <w:numId w:val="12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FEMA training information</w:t>
            </w:r>
          </w:p>
        </w:tc>
      </w:tr>
      <w:tr w:rsidR="00E31BBC" w14:paraId="5E2C6E25" w14:textId="77777777" w:rsidTr="00E31BBC">
        <w:trPr>
          <w:trHeight w:val="106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418C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1000 - 1045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4EA2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ASU Police Department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6E3A" w14:textId="77777777" w:rsidR="00E31BBC" w:rsidRDefault="00E31BBC" w:rsidP="00E31BBC">
            <w:pPr>
              <w:numPr>
                <w:ilvl w:val="0"/>
                <w:numId w:val="13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Situational Awareness</w:t>
            </w:r>
          </w:p>
          <w:p w14:paraId="06A86497" w14:textId="77777777" w:rsidR="00E31BBC" w:rsidRDefault="00E31BBC" w:rsidP="00E31BBC">
            <w:pPr>
              <w:numPr>
                <w:ilvl w:val="0"/>
                <w:numId w:val="13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Tips on personal response</w:t>
            </w:r>
          </w:p>
          <w:p w14:paraId="0527AD35" w14:textId="77777777" w:rsidR="00E31BBC" w:rsidRDefault="00E31BBC" w:rsidP="00E31BBC">
            <w:pPr>
              <w:numPr>
                <w:ilvl w:val="0"/>
                <w:numId w:val="13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General awareness training</w:t>
            </w:r>
          </w:p>
        </w:tc>
      </w:tr>
      <w:tr w:rsidR="00E31BBC" w14:paraId="599E1F61" w14:textId="77777777" w:rsidTr="00E31BBC">
        <w:trPr>
          <w:trHeight w:val="133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5B81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1100 - 1145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4A70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Emergency Management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9E14" w14:textId="77777777" w:rsidR="00E31BBC" w:rsidRDefault="00E31BBC" w:rsidP="00E31BBC">
            <w:pPr>
              <w:numPr>
                <w:ilvl w:val="0"/>
                <w:numId w:val="14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Campus Emergency Response Team (ERT)</w:t>
            </w:r>
          </w:p>
          <w:p w14:paraId="236E349E" w14:textId="77777777" w:rsidR="00E31BBC" w:rsidRDefault="00E31BBC" w:rsidP="00E31BBC">
            <w:pPr>
              <w:numPr>
                <w:ilvl w:val="0"/>
                <w:numId w:val="14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ERT team benefits to ASU response</w:t>
            </w:r>
          </w:p>
          <w:p w14:paraId="55E55296" w14:textId="77777777" w:rsidR="00E31BBC" w:rsidRDefault="00E31BBC" w:rsidP="00E31BBC">
            <w:pPr>
              <w:numPr>
                <w:ilvl w:val="0"/>
                <w:numId w:val="14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How to join</w:t>
            </w:r>
          </w:p>
        </w:tc>
      </w:tr>
      <w:tr w:rsidR="00E31BBC" w14:paraId="1E3490B6" w14:textId="77777777" w:rsidTr="00E31BBC">
        <w:trPr>
          <w:trHeight w:val="106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B2BE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1200 - 1245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E915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Threat Assessment Management Team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9E19" w14:textId="77777777" w:rsidR="00E31BBC" w:rsidRDefault="00E31BBC" w:rsidP="00E31BBC">
            <w:pPr>
              <w:numPr>
                <w:ilvl w:val="0"/>
                <w:numId w:val="15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What is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TAMT</w:t>
            </w:r>
            <w:proofErr w:type="gramEnd"/>
          </w:p>
          <w:p w14:paraId="328B0C42" w14:textId="77777777" w:rsidR="00E31BBC" w:rsidRDefault="00E31BBC" w:rsidP="00E31BBC">
            <w:pPr>
              <w:numPr>
                <w:ilvl w:val="0"/>
                <w:numId w:val="15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How to report a threat</w:t>
            </w:r>
          </w:p>
          <w:p w14:paraId="1B621E64" w14:textId="77777777" w:rsidR="00E31BBC" w:rsidRDefault="00E31BBC" w:rsidP="00E31BBC">
            <w:pPr>
              <w:numPr>
                <w:ilvl w:val="0"/>
                <w:numId w:val="15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Updates from TAMT</w:t>
            </w:r>
          </w:p>
        </w:tc>
      </w:tr>
      <w:tr w:rsidR="00E31BBC" w14:paraId="56E82714" w14:textId="77777777" w:rsidTr="00E31BBC">
        <w:trPr>
          <w:trHeight w:val="79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5A4D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1300 - 1345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210D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Environmental Health and Safety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CAD6" w14:textId="77777777" w:rsidR="00E31BBC" w:rsidRDefault="00E31BBC" w:rsidP="00E31BBC">
            <w:pPr>
              <w:numPr>
                <w:ilvl w:val="0"/>
                <w:numId w:val="16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Building evacuation planning</w:t>
            </w:r>
          </w:p>
          <w:p w14:paraId="1F8F48CA" w14:textId="77777777" w:rsidR="00E31BBC" w:rsidRDefault="00E31BBC" w:rsidP="00E31BBC">
            <w:pPr>
              <w:numPr>
                <w:ilvl w:val="0"/>
                <w:numId w:val="16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Basic lab safety and reporting</w:t>
            </w:r>
          </w:p>
        </w:tc>
      </w:tr>
      <w:tr w:rsidR="00E31BBC" w14:paraId="7513B8E9" w14:textId="77777777" w:rsidTr="00E31BBC">
        <w:trPr>
          <w:trHeight w:val="795"/>
        </w:trPr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FEDD" w14:textId="77777777" w:rsidR="00E31BBC" w:rsidRDefault="00E31BBC">
            <w:pPr>
              <w:jc w:val="center"/>
              <w:textAlignment w:val="baseline"/>
              <w:rPr>
                <w:rFonts w:ascii="Aptos" w:hAnsi="Aptos" w:cs="Times New Roman"/>
                <w:color w:val="000000"/>
              </w:rPr>
            </w:pPr>
            <w:r>
              <w:rPr>
                <w:rFonts w:ascii="Aptos" w:hAnsi="Aptos"/>
                <w:color w:val="000000"/>
              </w:rPr>
              <w:t>1400 - 1445</w:t>
            </w:r>
          </w:p>
        </w:tc>
        <w:tc>
          <w:tcPr>
            <w:tcW w:w="3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1A8A" w14:textId="77777777" w:rsidR="00E31BBC" w:rsidRDefault="00E31BB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Emergency Management</w:t>
            </w:r>
          </w:p>
        </w:tc>
        <w:tc>
          <w:tcPr>
            <w:tcW w:w="378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C0BA" w14:textId="77777777" w:rsidR="00E31BBC" w:rsidRDefault="00E31BBC" w:rsidP="00E31BBC">
            <w:pPr>
              <w:numPr>
                <w:ilvl w:val="0"/>
                <w:numId w:val="17"/>
              </w:numPr>
              <w:spacing w:after="0" w:line="240" w:lineRule="auto"/>
              <w:ind w:left="1081"/>
              <w:rPr>
                <w:rFonts w:ascii="Aptos" w:hAnsi="Aptos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What is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COOP</w:t>
            </w:r>
            <w:proofErr w:type="gramEnd"/>
          </w:p>
          <w:p w14:paraId="48B579F0" w14:textId="77777777" w:rsidR="00E31BBC" w:rsidRDefault="00E31BBC" w:rsidP="00E31BBC">
            <w:pPr>
              <w:numPr>
                <w:ilvl w:val="0"/>
                <w:numId w:val="17"/>
              </w:numPr>
              <w:spacing w:after="0" w:line="240" w:lineRule="auto"/>
              <w:ind w:left="1081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What to expect moving forward</w:t>
            </w:r>
          </w:p>
        </w:tc>
      </w:tr>
    </w:tbl>
    <w:p w14:paraId="25F29D69" w14:textId="5446D2CA" w:rsidR="00932AF6" w:rsidRDefault="00932AF6" w:rsidP="001D4500">
      <w:pPr>
        <w:shd w:val="clear" w:color="auto" w:fill="FFFFFF"/>
        <w:tabs>
          <w:tab w:val="left" w:pos="8370"/>
        </w:tabs>
        <w:spacing w:before="120" w:after="120" w:line="240" w:lineRule="auto"/>
        <w:jc w:val="both"/>
      </w:pPr>
    </w:p>
    <w:sectPr w:rsidR="00932AF6" w:rsidSect="00F8301B">
      <w:headerReference w:type="default" r:id="rId7"/>
      <w:headerReference w:type="first" r:id="rId8"/>
      <w:pgSz w:w="12240" w:h="15840"/>
      <w:pgMar w:top="17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2D7" w14:textId="77777777" w:rsidR="00B6464A" w:rsidRDefault="00B6464A" w:rsidP="00444D8A">
      <w:pPr>
        <w:spacing w:after="0" w:line="240" w:lineRule="auto"/>
      </w:pPr>
      <w:r>
        <w:separator/>
      </w:r>
    </w:p>
  </w:endnote>
  <w:endnote w:type="continuationSeparator" w:id="0">
    <w:p w14:paraId="718B3E19" w14:textId="77777777" w:rsidR="00B6464A" w:rsidRDefault="00B6464A" w:rsidP="0044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1D53" w14:textId="77777777" w:rsidR="00B6464A" w:rsidRDefault="00B6464A" w:rsidP="00444D8A">
      <w:pPr>
        <w:spacing w:after="0" w:line="240" w:lineRule="auto"/>
      </w:pPr>
      <w:r>
        <w:separator/>
      </w:r>
    </w:p>
  </w:footnote>
  <w:footnote w:type="continuationSeparator" w:id="0">
    <w:p w14:paraId="2F4CDB14" w14:textId="77777777" w:rsidR="00B6464A" w:rsidRDefault="00B6464A" w:rsidP="0044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B630" w14:textId="77777777" w:rsidR="00674225" w:rsidRDefault="00674225" w:rsidP="00674225">
    <w:pPr>
      <w:pStyle w:val="NormalWeb"/>
      <w:spacing w:before="0" w:beforeAutospacing="0" w:after="0" w:afterAutospacing="0"/>
      <w:rPr>
        <w:rFonts w:ascii="Arial" w:hAnsi="Arial" w:cs="Arial"/>
        <w:b/>
      </w:rPr>
    </w:pPr>
    <w:r w:rsidRPr="00B46C6A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DA45288" wp14:editId="63FF00E6">
          <wp:simplePos x="0" y="0"/>
          <wp:positionH relativeFrom="margin">
            <wp:posOffset>-114300</wp:posOffset>
          </wp:positionH>
          <wp:positionV relativeFrom="paragraph">
            <wp:posOffset>-82550</wp:posOffset>
          </wp:positionV>
          <wp:extent cx="920750" cy="73025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U_University_1_Vert_CMYK_Print_MaroonGold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20994" w14:textId="77777777" w:rsidR="00781561" w:rsidRDefault="00781561" w:rsidP="00674225">
    <w:pPr>
      <w:pStyle w:val="NormalWeb"/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7486712B" w14:textId="77777777" w:rsidR="00837BA2" w:rsidRDefault="00837BA2" w:rsidP="00F8301B">
    <w:pPr>
      <w:pStyle w:val="NormalWeb"/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64B068DE" w14:textId="77777777" w:rsidR="00837BA2" w:rsidRDefault="00837BA2" w:rsidP="00F8301B">
    <w:pPr>
      <w:pStyle w:val="NormalWeb"/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5EB3FC5D" w14:textId="77777777" w:rsidR="00444D8A" w:rsidRPr="00F8301B" w:rsidRDefault="00674225" w:rsidP="00F8301B">
    <w:pPr>
      <w:pStyle w:val="NormalWeb"/>
      <w:spacing w:before="0" w:beforeAutospacing="0" w:after="0" w:afterAutospacing="0"/>
      <w:rPr>
        <w:rFonts w:ascii="Arial" w:hAnsi="Arial" w:cs="Arial"/>
        <w:b/>
      </w:rPr>
    </w:pPr>
    <w:r w:rsidRPr="00B46C6A">
      <w:rPr>
        <w:rFonts w:ascii="Arial" w:hAnsi="Arial" w:cs="Arial"/>
        <w:b/>
        <w:color w:val="8C1D40"/>
        <w:sz w:val="18"/>
        <w:szCs w:val="18"/>
      </w:rPr>
      <w:t>Emer</w:t>
    </w:r>
    <w:r>
      <w:rPr>
        <w:rFonts w:ascii="Arial" w:hAnsi="Arial" w:cs="Arial"/>
        <w:b/>
        <w:color w:val="8C1D40"/>
        <w:sz w:val="18"/>
        <w:szCs w:val="18"/>
      </w:rPr>
      <w:t>g</w:t>
    </w:r>
    <w:r w:rsidRPr="00B46C6A">
      <w:rPr>
        <w:rFonts w:ascii="Arial" w:hAnsi="Arial" w:cs="Arial"/>
        <w:b/>
        <w:color w:val="8C1D40"/>
        <w:sz w:val="18"/>
        <w:szCs w:val="18"/>
      </w:rPr>
      <w:t>ency Management</w:t>
    </w:r>
    <w:r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</w:r>
    <w:r w:rsidR="00F8301B">
      <w:rPr>
        <w:rFonts w:ascii="Arial" w:hAnsi="Arial" w:cs="Arial"/>
        <w:b/>
        <w:color w:val="8C1D40"/>
        <w:sz w:val="18"/>
        <w:szCs w:val="18"/>
      </w:rPr>
      <w:tab/>
      <w:t xml:space="preserve">           2</w:t>
    </w:r>
    <w:r>
      <w:rPr>
        <w:rFonts w:ascii="Arial" w:hAnsi="Arial" w:cs="Arial"/>
        <w:b/>
        <w:color w:val="8C1D4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9618" w14:textId="77777777" w:rsidR="00674225" w:rsidRDefault="00674225" w:rsidP="00674225">
    <w:pPr>
      <w:pStyle w:val="NormalWeb"/>
      <w:spacing w:before="0" w:beforeAutospacing="0" w:after="0" w:afterAutospacing="0"/>
      <w:rPr>
        <w:rFonts w:ascii="Arial" w:hAnsi="Arial" w:cs="Arial"/>
        <w:b/>
      </w:rPr>
    </w:pPr>
    <w:r w:rsidRPr="00B46C6A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8D25B0F" wp14:editId="48FC30AE">
          <wp:simplePos x="0" y="0"/>
          <wp:positionH relativeFrom="margin">
            <wp:posOffset>-114300</wp:posOffset>
          </wp:positionH>
          <wp:positionV relativeFrom="paragraph">
            <wp:posOffset>-63500</wp:posOffset>
          </wp:positionV>
          <wp:extent cx="904875" cy="728444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U_University_1_Vert_CMYK_Print_MaroonGold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8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D4DF40" w14:textId="77777777" w:rsidR="00F8301B" w:rsidRDefault="00F8301B" w:rsidP="00F8301B">
    <w:pPr>
      <w:pStyle w:val="NormalWeb"/>
      <w:tabs>
        <w:tab w:val="right" w:pos="9360"/>
      </w:tabs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28856D7F" w14:textId="77777777" w:rsidR="00837BA2" w:rsidRDefault="00837BA2" w:rsidP="00F8301B">
    <w:pPr>
      <w:pStyle w:val="NormalWeb"/>
      <w:tabs>
        <w:tab w:val="right" w:pos="9360"/>
      </w:tabs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21C67369" w14:textId="77777777" w:rsidR="00837BA2" w:rsidRDefault="00837BA2" w:rsidP="00F8301B">
    <w:pPr>
      <w:pStyle w:val="NormalWeb"/>
      <w:tabs>
        <w:tab w:val="right" w:pos="9360"/>
      </w:tabs>
      <w:spacing w:before="0" w:beforeAutospacing="0" w:after="0" w:afterAutospacing="0"/>
      <w:rPr>
        <w:rFonts w:ascii="Arial" w:hAnsi="Arial" w:cs="Arial"/>
        <w:b/>
        <w:color w:val="8C1D40"/>
        <w:sz w:val="18"/>
        <w:szCs w:val="18"/>
      </w:rPr>
    </w:pPr>
  </w:p>
  <w:p w14:paraId="4DF91166" w14:textId="77777777" w:rsidR="00386C36" w:rsidRDefault="00386C36" w:rsidP="00874ECA">
    <w:pPr>
      <w:pStyle w:val="NormalWeb"/>
      <w:tabs>
        <w:tab w:val="right" w:pos="9360"/>
      </w:tabs>
      <w:spacing w:before="0" w:beforeAutospacing="0" w:after="0" w:afterAutospacing="0" w:line="360" w:lineRule="auto"/>
      <w:rPr>
        <w:rFonts w:ascii="Arial" w:hAnsi="Arial" w:cs="Arial"/>
        <w:b/>
        <w:color w:val="8C1D40"/>
        <w:sz w:val="18"/>
        <w:szCs w:val="18"/>
      </w:rPr>
    </w:pPr>
  </w:p>
  <w:p w14:paraId="5546478E" w14:textId="41D9720C" w:rsidR="00674225" w:rsidRPr="00F8301B" w:rsidRDefault="00674225" w:rsidP="00874ECA">
    <w:pPr>
      <w:pStyle w:val="NormalWeb"/>
      <w:tabs>
        <w:tab w:val="right" w:pos="9360"/>
      </w:tabs>
      <w:spacing w:before="0" w:beforeAutospacing="0" w:after="0" w:afterAutospacing="0" w:line="360" w:lineRule="auto"/>
      <w:rPr>
        <w:rFonts w:ascii="Arial" w:hAnsi="Arial" w:cs="Arial"/>
        <w:b/>
      </w:rPr>
    </w:pPr>
    <w:r w:rsidRPr="00B46C6A">
      <w:rPr>
        <w:rFonts w:ascii="Arial" w:hAnsi="Arial" w:cs="Arial"/>
        <w:b/>
        <w:color w:val="8C1D40"/>
        <w:sz w:val="18"/>
        <w:szCs w:val="18"/>
      </w:rPr>
      <w:t>Emergency Management</w:t>
    </w:r>
    <w:r w:rsidR="00F8301B">
      <w:rPr>
        <w:rFonts w:ascii="Arial" w:hAnsi="Arial" w:cs="Arial"/>
        <w:b/>
        <w:color w:val="8C1D40"/>
        <w:sz w:val="18"/>
        <w:szCs w:val="18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906"/>
    <w:multiLevelType w:val="multilevel"/>
    <w:tmpl w:val="7DE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F064E"/>
    <w:multiLevelType w:val="multilevel"/>
    <w:tmpl w:val="02D0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A536A"/>
    <w:multiLevelType w:val="multilevel"/>
    <w:tmpl w:val="AE9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75445"/>
    <w:multiLevelType w:val="multilevel"/>
    <w:tmpl w:val="5F4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61983"/>
    <w:multiLevelType w:val="hybridMultilevel"/>
    <w:tmpl w:val="D21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4D8"/>
    <w:multiLevelType w:val="hybridMultilevel"/>
    <w:tmpl w:val="4A065A14"/>
    <w:lvl w:ilvl="0" w:tplc="451467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6AA"/>
    <w:multiLevelType w:val="multilevel"/>
    <w:tmpl w:val="3A8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B2151"/>
    <w:multiLevelType w:val="multilevel"/>
    <w:tmpl w:val="CE6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023CE"/>
    <w:multiLevelType w:val="multilevel"/>
    <w:tmpl w:val="974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64842"/>
    <w:multiLevelType w:val="hybridMultilevel"/>
    <w:tmpl w:val="972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47C8"/>
    <w:multiLevelType w:val="hybridMultilevel"/>
    <w:tmpl w:val="751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6776"/>
    <w:multiLevelType w:val="hybridMultilevel"/>
    <w:tmpl w:val="DE48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7B62"/>
    <w:multiLevelType w:val="multilevel"/>
    <w:tmpl w:val="486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7426A"/>
    <w:multiLevelType w:val="hybridMultilevel"/>
    <w:tmpl w:val="60EE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2DAC"/>
    <w:multiLevelType w:val="multilevel"/>
    <w:tmpl w:val="D23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81722"/>
    <w:multiLevelType w:val="multilevel"/>
    <w:tmpl w:val="5594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6273E"/>
    <w:multiLevelType w:val="hybridMultilevel"/>
    <w:tmpl w:val="7732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9753">
    <w:abstractNumId w:val="3"/>
  </w:num>
  <w:num w:numId="2" w16cid:durableId="1201474493">
    <w:abstractNumId w:val="0"/>
  </w:num>
  <w:num w:numId="3" w16cid:durableId="42022827">
    <w:abstractNumId w:val="7"/>
  </w:num>
  <w:num w:numId="4" w16cid:durableId="2040082362">
    <w:abstractNumId w:val="1"/>
  </w:num>
  <w:num w:numId="5" w16cid:durableId="65343759">
    <w:abstractNumId w:val="5"/>
  </w:num>
  <w:num w:numId="6" w16cid:durableId="1714427332">
    <w:abstractNumId w:val="10"/>
  </w:num>
  <w:num w:numId="7" w16cid:durableId="12070889">
    <w:abstractNumId w:val="11"/>
  </w:num>
  <w:num w:numId="8" w16cid:durableId="1460952717">
    <w:abstractNumId w:val="4"/>
  </w:num>
  <w:num w:numId="9" w16cid:durableId="1536498924">
    <w:abstractNumId w:val="13"/>
  </w:num>
  <w:num w:numId="10" w16cid:durableId="2083791696">
    <w:abstractNumId w:val="16"/>
  </w:num>
  <w:num w:numId="11" w16cid:durableId="1517428662">
    <w:abstractNumId w:val="9"/>
  </w:num>
  <w:num w:numId="12" w16cid:durableId="1479110327">
    <w:abstractNumId w:val="15"/>
  </w:num>
  <w:num w:numId="13" w16cid:durableId="1742828302">
    <w:abstractNumId w:val="6"/>
  </w:num>
  <w:num w:numId="14" w16cid:durableId="973295196">
    <w:abstractNumId w:val="12"/>
  </w:num>
  <w:num w:numId="15" w16cid:durableId="1782914610">
    <w:abstractNumId w:val="14"/>
  </w:num>
  <w:num w:numId="16" w16cid:durableId="978649628">
    <w:abstractNumId w:val="2"/>
  </w:num>
  <w:num w:numId="17" w16cid:durableId="1038044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6"/>
    <w:rsid w:val="000C40FD"/>
    <w:rsid w:val="000E423A"/>
    <w:rsid w:val="001D4500"/>
    <w:rsid w:val="001F11C5"/>
    <w:rsid w:val="00243F84"/>
    <w:rsid w:val="002564E5"/>
    <w:rsid w:val="00370A8B"/>
    <w:rsid w:val="003726BD"/>
    <w:rsid w:val="00386C36"/>
    <w:rsid w:val="003C4FE1"/>
    <w:rsid w:val="004100D3"/>
    <w:rsid w:val="00417C4F"/>
    <w:rsid w:val="00444D8A"/>
    <w:rsid w:val="0046503C"/>
    <w:rsid w:val="005D0D3D"/>
    <w:rsid w:val="005E7690"/>
    <w:rsid w:val="006218BD"/>
    <w:rsid w:val="00674225"/>
    <w:rsid w:val="0073110D"/>
    <w:rsid w:val="00781561"/>
    <w:rsid w:val="00837BA2"/>
    <w:rsid w:val="00874ECA"/>
    <w:rsid w:val="00932AF6"/>
    <w:rsid w:val="009414F4"/>
    <w:rsid w:val="00B369A2"/>
    <w:rsid w:val="00B44C85"/>
    <w:rsid w:val="00B6464A"/>
    <w:rsid w:val="00DD05B7"/>
    <w:rsid w:val="00DD5E3B"/>
    <w:rsid w:val="00E06957"/>
    <w:rsid w:val="00E31BBC"/>
    <w:rsid w:val="00E85A56"/>
    <w:rsid w:val="00F8301B"/>
    <w:rsid w:val="00F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3E8E4"/>
  <w15:chartTrackingRefBased/>
  <w15:docId w15:val="{794EE514-FAEA-4D1A-BF5D-9B5EA8C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A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A"/>
  </w:style>
  <w:style w:type="paragraph" w:styleId="Footer">
    <w:name w:val="footer"/>
    <w:basedOn w:val="Normal"/>
    <w:link w:val="FooterChar"/>
    <w:uiPriority w:val="99"/>
    <w:unhideWhenUsed/>
    <w:rsid w:val="0044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A"/>
  </w:style>
  <w:style w:type="table" w:styleId="TableGrid">
    <w:name w:val="Table Grid"/>
    <w:basedOn w:val="TableNormal"/>
    <w:uiPriority w:val="39"/>
    <w:rsid w:val="00E8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500"/>
    <w:pPr>
      <w:ind w:left="720"/>
      <w:contextualSpacing/>
    </w:pPr>
    <w:rPr>
      <w:kern w:val="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1D450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Generally</dc:creator>
  <cp:keywords/>
  <dc:description/>
  <cp:lastModifiedBy>Denise Whisman</cp:lastModifiedBy>
  <cp:revision>6</cp:revision>
  <cp:lastPrinted>2023-08-18T19:09:00Z</cp:lastPrinted>
  <dcterms:created xsi:type="dcterms:W3CDTF">2024-03-20T00:12:00Z</dcterms:created>
  <dcterms:modified xsi:type="dcterms:W3CDTF">2024-03-20T18:08:00Z</dcterms:modified>
</cp:coreProperties>
</file>